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F6" w:rsidRDefault="003346F6" w:rsidP="00F24D6A">
      <w:pPr>
        <w:contextualSpacing/>
        <w:rPr>
          <w:rFonts w:ascii="Times New Roman" w:hAnsi="Times New Roman"/>
          <w:b/>
        </w:rPr>
      </w:pPr>
      <w:r w:rsidRPr="009A44E0">
        <w:rPr>
          <w:rFonts w:ascii="Times New Roman" w:hAnsi="Times New Roman"/>
          <w:b/>
        </w:rPr>
        <w:t xml:space="preserve">THE RUMC INDEX: PREDICTING MORTALITY USING A </w:t>
      </w:r>
      <w:r w:rsidR="005C48F6">
        <w:rPr>
          <w:rFonts w:ascii="Times New Roman" w:hAnsi="Times New Roman"/>
          <w:b/>
        </w:rPr>
        <w:t>C</w:t>
      </w:r>
      <w:r w:rsidRPr="009A44E0">
        <w:rPr>
          <w:rFonts w:ascii="Times New Roman" w:hAnsi="Times New Roman"/>
          <w:b/>
        </w:rPr>
        <w:t>OMBINED EWS AND NLR SCORING SYSTEMS</w:t>
      </w:r>
      <w:bookmarkStart w:id="0" w:name="_GoBack"/>
      <w:bookmarkEnd w:id="0"/>
    </w:p>
    <w:p w:rsidR="003346F6" w:rsidRPr="009A44E0" w:rsidRDefault="003346F6" w:rsidP="00F24D6A">
      <w:pPr>
        <w:contextualSpacing/>
        <w:rPr>
          <w:rFonts w:ascii="Times New Roman" w:hAnsi="Times New Roman"/>
        </w:rPr>
      </w:pPr>
      <w:r w:rsidRPr="00773AA0">
        <w:rPr>
          <w:rFonts w:ascii="Times New Roman" w:hAnsi="Times New Roman"/>
          <w:b/>
          <w:bCs/>
          <w:u w:val="single"/>
        </w:rPr>
        <w:t>A</w:t>
      </w:r>
      <w:r w:rsidR="00F24D6A" w:rsidRPr="00773AA0">
        <w:rPr>
          <w:rFonts w:ascii="Times New Roman" w:hAnsi="Times New Roman"/>
          <w:b/>
          <w:bCs/>
          <w:u w:val="single"/>
        </w:rPr>
        <w:t>.J. Park</w:t>
      </w:r>
      <w:r w:rsidR="00F24D6A">
        <w:rPr>
          <w:rFonts w:ascii="Times New Roman" w:hAnsi="Times New Roman"/>
        </w:rPr>
        <w:t xml:space="preserve">, </w:t>
      </w:r>
      <w:r w:rsidRPr="009A44E0">
        <w:rPr>
          <w:rFonts w:ascii="Times New Roman" w:hAnsi="Times New Roman"/>
        </w:rPr>
        <w:t>X</w:t>
      </w:r>
      <w:r w:rsidR="00F24D6A">
        <w:rPr>
          <w:rFonts w:ascii="Times New Roman" w:hAnsi="Times New Roman"/>
        </w:rPr>
        <w:t xml:space="preserve">. </w:t>
      </w:r>
      <w:r w:rsidRPr="009A44E0">
        <w:rPr>
          <w:rFonts w:ascii="Times New Roman" w:hAnsi="Times New Roman"/>
        </w:rPr>
        <w:t xml:space="preserve">Wang, </w:t>
      </w:r>
      <w:r w:rsidRPr="00897925">
        <w:rPr>
          <w:rFonts w:ascii="Times New Roman" w:hAnsi="Times New Roman"/>
        </w:rPr>
        <w:t>V</w:t>
      </w:r>
      <w:r w:rsidR="00F24D6A">
        <w:rPr>
          <w:rFonts w:ascii="Times New Roman" w:hAnsi="Times New Roman"/>
        </w:rPr>
        <w:t>.</w:t>
      </w:r>
      <w:r w:rsidRPr="00897925">
        <w:rPr>
          <w:rFonts w:ascii="Times New Roman" w:hAnsi="Times New Roman"/>
        </w:rPr>
        <w:t xml:space="preserve"> </w:t>
      </w:r>
      <w:proofErr w:type="spellStart"/>
      <w:r w:rsidRPr="00897925">
        <w:rPr>
          <w:rFonts w:ascii="Times New Roman" w:hAnsi="Times New Roman"/>
        </w:rPr>
        <w:t>Arulthasan</w:t>
      </w:r>
      <w:proofErr w:type="spellEnd"/>
      <w:r w:rsidRPr="00897925">
        <w:rPr>
          <w:rFonts w:ascii="Times New Roman" w:hAnsi="Times New Roman"/>
        </w:rPr>
        <w:t>,</w:t>
      </w:r>
      <w:r w:rsidRPr="009A44E0">
        <w:rPr>
          <w:rFonts w:ascii="Times New Roman" w:hAnsi="Times New Roman"/>
        </w:rPr>
        <w:t xml:space="preserve"> D</w:t>
      </w:r>
      <w:r w:rsidR="00F24D6A">
        <w:rPr>
          <w:rFonts w:ascii="Times New Roman" w:hAnsi="Times New Roman"/>
        </w:rPr>
        <w:t>.</w:t>
      </w:r>
      <w:r w:rsidRPr="009A44E0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9A44E0">
        <w:rPr>
          <w:rFonts w:ascii="Times New Roman" w:hAnsi="Times New Roman"/>
        </w:rPr>
        <w:t xml:space="preserve"> Bloomfield</w:t>
      </w:r>
    </w:p>
    <w:p w:rsidR="003346F6" w:rsidRPr="00F24D6A" w:rsidRDefault="00F24D6A" w:rsidP="00F24D6A">
      <w:pPr>
        <w:contextualSpacing/>
        <w:rPr>
          <w:rFonts w:ascii="Times New Roman" w:hAnsi="Times New Roman"/>
        </w:rPr>
      </w:pPr>
      <w:r w:rsidRPr="00F24D6A">
        <w:rPr>
          <w:rFonts w:ascii="Times New Roman" w:hAnsi="Times New Roman"/>
        </w:rPr>
        <w:t>Richmond University Medical Center, Staten Island, NY, USA</w:t>
      </w:r>
    </w:p>
    <w:p w:rsidR="00F24D6A" w:rsidRPr="009A44E0" w:rsidRDefault="00F24D6A" w:rsidP="00F24D6A">
      <w:pPr>
        <w:contextualSpacing/>
        <w:rPr>
          <w:rFonts w:ascii="Times New Roman" w:hAnsi="Times New Roman"/>
          <w:b/>
        </w:rPr>
      </w:pPr>
    </w:p>
    <w:p w:rsidR="003346F6" w:rsidRDefault="00F24D6A" w:rsidP="00773AA0">
      <w:pPr>
        <w:contextualSpacing/>
        <w:jc w:val="both"/>
        <w:rPr>
          <w:rFonts w:ascii="Times New Roman" w:hAnsi="Times New Roman"/>
          <w:iCs/>
        </w:rPr>
      </w:pPr>
      <w:r w:rsidRPr="00F24D6A">
        <w:rPr>
          <w:rFonts w:ascii="Times New Roman" w:hAnsi="Times New Roman"/>
          <w:i/>
          <w:iCs/>
        </w:rPr>
        <w:t>Background</w:t>
      </w:r>
      <w:r w:rsidR="003346F6">
        <w:rPr>
          <w:rFonts w:ascii="Times New Roman" w:hAnsi="Times New Roman"/>
          <w:iCs/>
        </w:rPr>
        <w:t xml:space="preserve">: </w:t>
      </w:r>
      <w:r w:rsidR="003346F6" w:rsidRPr="009A44E0">
        <w:rPr>
          <w:rFonts w:ascii="Times New Roman" w:hAnsi="Times New Roman"/>
          <w:iCs/>
        </w:rPr>
        <w:t xml:space="preserve">The ability to accurately determine disease severity and patient mortality risk is essential to provide appropriate and timely patient care. </w:t>
      </w:r>
      <w:r w:rsidR="003346F6">
        <w:rPr>
          <w:rFonts w:ascii="Times New Roman" w:hAnsi="Times New Roman"/>
          <w:iCs/>
        </w:rPr>
        <w:t>The e</w:t>
      </w:r>
      <w:r w:rsidR="003346F6" w:rsidRPr="009A44E0">
        <w:rPr>
          <w:rFonts w:ascii="Times New Roman" w:hAnsi="Times New Roman"/>
          <w:iCs/>
        </w:rPr>
        <w:t xml:space="preserve">arly warning score (EWS) and </w:t>
      </w:r>
      <w:r w:rsidR="003346F6">
        <w:rPr>
          <w:rFonts w:ascii="Times New Roman" w:hAnsi="Times New Roman"/>
          <w:iCs/>
        </w:rPr>
        <w:t xml:space="preserve">the </w:t>
      </w:r>
      <w:r w:rsidR="003346F6" w:rsidRPr="009A44E0">
        <w:rPr>
          <w:rFonts w:ascii="Times New Roman" w:hAnsi="Times New Roman"/>
          <w:iCs/>
        </w:rPr>
        <w:t xml:space="preserve">neutrophil-to-lymphocyte ratio (NLR) are two independently proven mortality predictive scores. NLR </w:t>
      </w:r>
      <w:r w:rsidR="003346F6">
        <w:rPr>
          <w:rFonts w:ascii="Times New Roman" w:hAnsi="Times New Roman"/>
          <w:iCs/>
        </w:rPr>
        <w:t xml:space="preserve">(neutrophil % divided by lymphocyte %) </w:t>
      </w:r>
      <w:r w:rsidR="003346F6" w:rsidRPr="009A44E0">
        <w:rPr>
          <w:rFonts w:ascii="Times New Roman" w:hAnsi="Times New Roman"/>
          <w:iCs/>
        </w:rPr>
        <w:t>has been most frequently utilized for patient</w:t>
      </w:r>
      <w:r w:rsidR="003346F6">
        <w:rPr>
          <w:rFonts w:ascii="Times New Roman" w:hAnsi="Times New Roman"/>
          <w:iCs/>
        </w:rPr>
        <w:t>s</w:t>
      </w:r>
      <w:r w:rsidR="003346F6" w:rsidRPr="009A44E0">
        <w:rPr>
          <w:rFonts w:ascii="Times New Roman" w:hAnsi="Times New Roman"/>
          <w:iCs/>
        </w:rPr>
        <w:t xml:space="preserve"> with cardiac </w:t>
      </w:r>
      <w:r w:rsidR="003346F6">
        <w:rPr>
          <w:rFonts w:ascii="Times New Roman" w:hAnsi="Times New Roman"/>
          <w:iCs/>
        </w:rPr>
        <w:t xml:space="preserve">disease whereas </w:t>
      </w:r>
      <w:r w:rsidR="003346F6" w:rsidRPr="009A44E0">
        <w:rPr>
          <w:rFonts w:ascii="Times New Roman" w:hAnsi="Times New Roman"/>
          <w:iCs/>
        </w:rPr>
        <w:t>EWS</w:t>
      </w:r>
      <w:r w:rsidR="003346F6">
        <w:rPr>
          <w:rFonts w:ascii="Times New Roman" w:hAnsi="Times New Roman"/>
          <w:iCs/>
        </w:rPr>
        <w:t xml:space="preserve"> (grading the variables in the table below) </w:t>
      </w:r>
      <w:r w:rsidR="003346F6" w:rsidRPr="009A44E0">
        <w:rPr>
          <w:rFonts w:ascii="Times New Roman" w:hAnsi="Times New Roman"/>
          <w:iCs/>
        </w:rPr>
        <w:t>has been widely used in t</w:t>
      </w:r>
      <w:r w:rsidR="003346F6">
        <w:rPr>
          <w:rFonts w:ascii="Times New Roman" w:hAnsi="Times New Roman"/>
          <w:iCs/>
        </w:rPr>
        <w:t>he United Kingdom triage setting as a predictor of all-cause mortality</w:t>
      </w:r>
      <w:r w:rsidR="003346F6" w:rsidRPr="009A44E0">
        <w:rPr>
          <w:rFonts w:ascii="Times New Roman" w:hAnsi="Times New Roman"/>
          <w:iCs/>
        </w:rPr>
        <w:t xml:space="preserve">. </w:t>
      </w:r>
    </w:p>
    <w:p w:rsidR="003346F6" w:rsidRDefault="00F24D6A" w:rsidP="00773AA0">
      <w:pPr>
        <w:contextualSpacing/>
        <w:jc w:val="both"/>
        <w:rPr>
          <w:rFonts w:ascii="Times New Roman" w:hAnsi="Times New Roman"/>
          <w:bCs/>
        </w:rPr>
      </w:pPr>
      <w:r w:rsidRPr="00F24D6A">
        <w:rPr>
          <w:rFonts w:ascii="Times New Roman" w:hAnsi="Times New Roman"/>
          <w:i/>
          <w:iCs/>
        </w:rPr>
        <w:t>Objective</w:t>
      </w:r>
      <w:r w:rsidR="003346F6">
        <w:rPr>
          <w:rFonts w:ascii="Times New Roman" w:hAnsi="Times New Roman"/>
          <w:iCs/>
        </w:rPr>
        <w:t>: To create a better mortality predictive score, the two indices were combined into a new one called the Richmond University Medical Center Index (RUMCI).</w:t>
      </w:r>
      <w:r w:rsidR="003346F6" w:rsidRPr="009A44E0">
        <w:rPr>
          <w:rFonts w:ascii="Times New Roman" w:hAnsi="Times New Roman"/>
          <w:bCs/>
        </w:rPr>
        <w:t xml:space="preserve"> </w:t>
      </w:r>
    </w:p>
    <w:p w:rsidR="003346F6" w:rsidRDefault="00F24D6A" w:rsidP="00773AA0"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Methods</w:t>
      </w:r>
      <w:r w:rsidR="003346F6">
        <w:rPr>
          <w:rFonts w:ascii="Times New Roman" w:hAnsi="Times New Roman"/>
          <w:bCs/>
        </w:rPr>
        <w:t xml:space="preserve">: </w:t>
      </w:r>
      <w:r w:rsidR="003346F6" w:rsidRPr="009A44E0">
        <w:rPr>
          <w:rFonts w:ascii="Times New Roman" w:hAnsi="Times New Roman"/>
          <w:bCs/>
        </w:rPr>
        <w:t xml:space="preserve">330 </w:t>
      </w:r>
      <w:r w:rsidR="003346F6">
        <w:rPr>
          <w:rFonts w:ascii="Times New Roman" w:hAnsi="Times New Roman"/>
          <w:bCs/>
        </w:rPr>
        <w:t xml:space="preserve">medical records of patients who had expired </w:t>
      </w:r>
      <w:r w:rsidR="003346F6" w:rsidRPr="009A44E0">
        <w:rPr>
          <w:rFonts w:ascii="Times New Roman" w:hAnsi="Times New Roman"/>
          <w:bCs/>
        </w:rPr>
        <w:t xml:space="preserve">within 30 days of admission </w:t>
      </w:r>
      <w:r w:rsidR="003346F6">
        <w:rPr>
          <w:rFonts w:ascii="Times New Roman" w:hAnsi="Times New Roman"/>
          <w:bCs/>
        </w:rPr>
        <w:t>were reviewed for the variables in the table to calculate the RUMCI by adding the scores allocated for individual variables.</w:t>
      </w:r>
      <w:r w:rsidR="003346F6" w:rsidRPr="009A44E0">
        <w:rPr>
          <w:rFonts w:ascii="Times New Roman" w:hAnsi="Times New Roman"/>
          <w:bCs/>
        </w:rPr>
        <w:t xml:space="preserve"> </w:t>
      </w:r>
    </w:p>
    <w:p w:rsidR="003346F6" w:rsidRDefault="00F24D6A" w:rsidP="00773AA0"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Results</w:t>
      </w:r>
      <w:r w:rsidR="003346F6">
        <w:rPr>
          <w:rFonts w:ascii="Times New Roman" w:hAnsi="Times New Roman"/>
          <w:bCs/>
        </w:rPr>
        <w:t xml:space="preserve">: RUMCI </w:t>
      </w:r>
      <w:r w:rsidR="003346F6" w:rsidRPr="009A44E0">
        <w:rPr>
          <w:rFonts w:ascii="Times New Roman" w:hAnsi="Times New Roman"/>
          <w:bCs/>
        </w:rPr>
        <w:t xml:space="preserve">≥ 5 was able to identify 83% of the expired patients, as opposed </w:t>
      </w:r>
      <w:r w:rsidR="003346F6">
        <w:rPr>
          <w:rFonts w:ascii="Times New Roman" w:hAnsi="Times New Roman"/>
          <w:bCs/>
        </w:rPr>
        <w:t xml:space="preserve">to </w:t>
      </w:r>
      <w:r w:rsidR="003346F6" w:rsidRPr="009A44E0">
        <w:rPr>
          <w:rFonts w:ascii="Times New Roman" w:hAnsi="Times New Roman"/>
          <w:bCs/>
        </w:rPr>
        <w:t>EWS</w:t>
      </w:r>
      <w:r w:rsidR="003346F6">
        <w:rPr>
          <w:rFonts w:ascii="Times New Roman" w:hAnsi="Times New Roman"/>
          <w:bCs/>
        </w:rPr>
        <w:t xml:space="preserve"> (80%)</w:t>
      </w:r>
      <w:r w:rsidR="003346F6" w:rsidRPr="009A44E0">
        <w:rPr>
          <w:rFonts w:ascii="Times New Roman" w:hAnsi="Times New Roman"/>
          <w:bCs/>
        </w:rPr>
        <w:t xml:space="preserve"> </w:t>
      </w:r>
      <w:r w:rsidR="003346F6">
        <w:rPr>
          <w:rFonts w:ascii="Times New Roman" w:hAnsi="Times New Roman"/>
          <w:bCs/>
        </w:rPr>
        <w:t xml:space="preserve">or </w:t>
      </w:r>
      <w:r w:rsidR="003346F6" w:rsidRPr="009A44E0">
        <w:rPr>
          <w:rFonts w:ascii="Times New Roman" w:hAnsi="Times New Roman"/>
          <w:bCs/>
        </w:rPr>
        <w:t>NLR</w:t>
      </w:r>
      <w:r w:rsidR="003346F6">
        <w:rPr>
          <w:rFonts w:ascii="Times New Roman" w:hAnsi="Times New Roman"/>
          <w:bCs/>
        </w:rPr>
        <w:t xml:space="preserve"> (73%). </w:t>
      </w:r>
    </w:p>
    <w:p w:rsidR="003346F6" w:rsidRDefault="00F24D6A" w:rsidP="00773AA0">
      <w:pPr>
        <w:contextualSpacing/>
        <w:jc w:val="both"/>
        <w:rPr>
          <w:rFonts w:ascii="Times New Roman" w:hAnsi="Times New Roman"/>
        </w:rPr>
      </w:pPr>
      <w:r w:rsidRPr="00F24D6A">
        <w:rPr>
          <w:rFonts w:ascii="Times New Roman" w:hAnsi="Times New Roman"/>
          <w:bCs/>
          <w:i/>
        </w:rPr>
        <w:t>Conclusion</w:t>
      </w:r>
      <w:r w:rsidR="003346F6">
        <w:rPr>
          <w:rFonts w:ascii="Times New Roman" w:hAnsi="Times New Roman"/>
          <w:bCs/>
        </w:rPr>
        <w:t xml:space="preserve">: </w:t>
      </w:r>
      <w:r w:rsidR="003346F6" w:rsidRPr="009A44E0">
        <w:rPr>
          <w:rFonts w:ascii="Times New Roman" w:hAnsi="Times New Roman"/>
        </w:rPr>
        <w:t xml:space="preserve">While EWS and NLR can act as an effective independent mortality predictor, the combination of the two values in RUMCI </w:t>
      </w:r>
      <w:r w:rsidR="003346F6">
        <w:rPr>
          <w:rFonts w:ascii="Times New Roman" w:hAnsi="Times New Roman"/>
        </w:rPr>
        <w:t>is superior.</w:t>
      </w:r>
      <w:r w:rsidR="003346F6" w:rsidRPr="009A44E0">
        <w:rPr>
          <w:rFonts w:ascii="Times New Roman" w:hAnsi="Times New Roman"/>
        </w:rPr>
        <w:t xml:space="preserve"> </w:t>
      </w:r>
    </w:p>
    <w:p w:rsidR="003346F6" w:rsidRDefault="003346F6" w:rsidP="00773AA0">
      <w:pPr>
        <w:contextualSpacing/>
        <w:jc w:val="both"/>
        <w:rPr>
          <w:rFonts w:ascii="Times New Roman" w:hAnsi="Times New Roman"/>
        </w:rPr>
      </w:pPr>
    </w:p>
    <w:p w:rsidR="003346F6" w:rsidRPr="00B232F0" w:rsidRDefault="003346F6" w:rsidP="003346F6">
      <w:pPr>
        <w:contextualSpacing/>
        <w:jc w:val="center"/>
        <w:rPr>
          <w:rFonts w:ascii="Times New Roman" w:hAnsi="Times New Roman"/>
          <w:b/>
        </w:rPr>
      </w:pPr>
      <w:r w:rsidRPr="00B232F0">
        <w:rPr>
          <w:rFonts w:ascii="Times New Roman" w:hAnsi="Times New Roman"/>
          <w:b/>
        </w:rPr>
        <w:t>RUMC Index 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00"/>
        <w:gridCol w:w="900"/>
        <w:gridCol w:w="990"/>
        <w:gridCol w:w="990"/>
        <w:gridCol w:w="1080"/>
        <w:gridCol w:w="1260"/>
        <w:gridCol w:w="828"/>
      </w:tblGrid>
      <w:tr w:rsidR="003346F6" w:rsidRPr="009A44E0" w:rsidTr="00A202C8">
        <w:tc>
          <w:tcPr>
            <w:tcW w:w="1800" w:type="dxa"/>
            <w:vMerge w:val="restart"/>
            <w:vAlign w:val="center"/>
          </w:tcPr>
          <w:p w:rsidR="003346F6" w:rsidRPr="00F811B5" w:rsidRDefault="003346F6" w:rsidP="00A5673A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F811B5">
              <w:rPr>
                <w:rFonts w:ascii="Times New Roman" w:hAnsi="Times New Roman"/>
                <w:b/>
                <w:sz w:val="22"/>
                <w:szCs w:val="22"/>
              </w:rPr>
              <w:t>Variable Parameters</w:t>
            </w:r>
          </w:p>
        </w:tc>
        <w:tc>
          <w:tcPr>
            <w:tcW w:w="6948" w:type="dxa"/>
            <w:gridSpan w:val="7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11B5">
              <w:rPr>
                <w:rFonts w:ascii="Times New Roman" w:hAnsi="Times New Roman"/>
                <w:b/>
                <w:sz w:val="22"/>
                <w:szCs w:val="22"/>
              </w:rPr>
              <w:t>Score</w:t>
            </w:r>
          </w:p>
        </w:tc>
      </w:tr>
      <w:tr w:rsidR="00F24D6A" w:rsidRPr="009A44E0" w:rsidTr="00A202C8">
        <w:tc>
          <w:tcPr>
            <w:tcW w:w="1800" w:type="dxa"/>
            <w:vMerge/>
          </w:tcPr>
          <w:p w:rsidR="003346F6" w:rsidRPr="00F811B5" w:rsidRDefault="003346F6" w:rsidP="00A5673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11B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11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11B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11B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11B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11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828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11B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F24D6A" w:rsidRPr="009A44E0" w:rsidTr="00A202C8">
        <w:tc>
          <w:tcPr>
            <w:tcW w:w="1800" w:type="dxa"/>
          </w:tcPr>
          <w:p w:rsidR="00F24D6A" w:rsidRPr="00F811B5" w:rsidRDefault="003346F6" w:rsidP="00A5673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 xml:space="preserve">Respiratory </w:t>
            </w:r>
          </w:p>
          <w:p w:rsidR="003346F6" w:rsidRPr="00F811B5" w:rsidRDefault="003346F6" w:rsidP="00A5673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Rate (bpm)</w:t>
            </w: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9-20</w:t>
            </w:r>
          </w:p>
        </w:tc>
        <w:tc>
          <w:tcPr>
            <w:tcW w:w="108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21-30</w:t>
            </w:r>
          </w:p>
        </w:tc>
        <w:tc>
          <w:tcPr>
            <w:tcW w:w="126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31-35</w:t>
            </w:r>
          </w:p>
        </w:tc>
        <w:tc>
          <w:tcPr>
            <w:tcW w:w="828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≥ 36</w:t>
            </w:r>
          </w:p>
        </w:tc>
      </w:tr>
      <w:tr w:rsidR="00F24D6A" w:rsidRPr="009A44E0" w:rsidTr="00A202C8">
        <w:tc>
          <w:tcPr>
            <w:tcW w:w="1800" w:type="dxa"/>
          </w:tcPr>
          <w:p w:rsidR="003346F6" w:rsidRPr="00F811B5" w:rsidRDefault="003346F6" w:rsidP="00A5673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SaO2 (%)</w:t>
            </w: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&lt; 85</w:t>
            </w: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85-89</w:t>
            </w: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90-92</w:t>
            </w: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≥ 93</w:t>
            </w:r>
          </w:p>
        </w:tc>
        <w:tc>
          <w:tcPr>
            <w:tcW w:w="108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D6A" w:rsidRPr="009A44E0" w:rsidTr="00A202C8">
        <w:tc>
          <w:tcPr>
            <w:tcW w:w="1800" w:type="dxa"/>
          </w:tcPr>
          <w:p w:rsidR="003346F6" w:rsidRPr="00F811B5" w:rsidRDefault="003346F6" w:rsidP="00A202C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Temperature</w:t>
            </w:r>
            <w:r w:rsidR="00A202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811B5">
              <w:rPr>
                <w:rFonts w:ascii="Times New Roman" w:hAnsi="Times New Roman"/>
                <w:sz w:val="22"/>
                <w:szCs w:val="22"/>
              </w:rPr>
              <w:t>(°C)</w:t>
            </w: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≤ 33.9</w:t>
            </w: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34-34.9</w:t>
            </w: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35-35.9</w:t>
            </w: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36-37.9</w:t>
            </w:r>
          </w:p>
        </w:tc>
        <w:tc>
          <w:tcPr>
            <w:tcW w:w="108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38-38.9</w:t>
            </w:r>
          </w:p>
        </w:tc>
        <w:tc>
          <w:tcPr>
            <w:tcW w:w="126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≥ 39</w:t>
            </w:r>
          </w:p>
        </w:tc>
        <w:tc>
          <w:tcPr>
            <w:tcW w:w="828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D6A" w:rsidRPr="009A44E0" w:rsidTr="00A202C8">
        <w:tc>
          <w:tcPr>
            <w:tcW w:w="1800" w:type="dxa"/>
          </w:tcPr>
          <w:p w:rsidR="003346F6" w:rsidRPr="00F811B5" w:rsidRDefault="003346F6" w:rsidP="00A5673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Blood Pressure (systolic)</w:t>
            </w: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≤ 69</w:t>
            </w: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70-79</w:t>
            </w: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80-99</w:t>
            </w: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100-199</w:t>
            </w:r>
          </w:p>
        </w:tc>
        <w:tc>
          <w:tcPr>
            <w:tcW w:w="108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≥ 200</w:t>
            </w:r>
          </w:p>
        </w:tc>
      </w:tr>
      <w:tr w:rsidR="00F24D6A" w:rsidRPr="009A44E0" w:rsidTr="00A202C8">
        <w:tc>
          <w:tcPr>
            <w:tcW w:w="1800" w:type="dxa"/>
          </w:tcPr>
          <w:p w:rsidR="003346F6" w:rsidRPr="00F811B5" w:rsidRDefault="003346F6" w:rsidP="00A202C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Heart Rate (bpm)</w:t>
            </w: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 xml:space="preserve">≤ 29 </w:t>
            </w: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 xml:space="preserve">30-39 </w:t>
            </w: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 xml:space="preserve">40-49 </w:t>
            </w: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50-99</w:t>
            </w:r>
          </w:p>
        </w:tc>
        <w:tc>
          <w:tcPr>
            <w:tcW w:w="108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100-109</w:t>
            </w:r>
          </w:p>
        </w:tc>
        <w:tc>
          <w:tcPr>
            <w:tcW w:w="126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110-129</w:t>
            </w:r>
          </w:p>
        </w:tc>
        <w:tc>
          <w:tcPr>
            <w:tcW w:w="828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≥ 130</w:t>
            </w:r>
          </w:p>
        </w:tc>
      </w:tr>
      <w:tr w:rsidR="00F24D6A" w:rsidRPr="009A44E0" w:rsidTr="00A202C8">
        <w:tc>
          <w:tcPr>
            <w:tcW w:w="1800" w:type="dxa"/>
          </w:tcPr>
          <w:p w:rsidR="003346F6" w:rsidRPr="00F811B5" w:rsidRDefault="003346F6" w:rsidP="00A5673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Alertness</w:t>
            </w: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Alert</w:t>
            </w:r>
          </w:p>
        </w:tc>
        <w:tc>
          <w:tcPr>
            <w:tcW w:w="108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Verbal</w:t>
            </w:r>
          </w:p>
        </w:tc>
        <w:tc>
          <w:tcPr>
            <w:tcW w:w="126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Pain</w:t>
            </w:r>
          </w:p>
        </w:tc>
        <w:tc>
          <w:tcPr>
            <w:tcW w:w="828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None</w:t>
            </w:r>
          </w:p>
        </w:tc>
      </w:tr>
      <w:tr w:rsidR="00F24D6A" w:rsidRPr="009A44E0" w:rsidTr="00A202C8">
        <w:tc>
          <w:tcPr>
            <w:tcW w:w="1800" w:type="dxa"/>
          </w:tcPr>
          <w:p w:rsidR="003346F6" w:rsidRPr="00F811B5" w:rsidRDefault="003346F6" w:rsidP="00A5673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NLR</w:t>
            </w: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&lt; 1</w:t>
            </w:r>
          </w:p>
        </w:tc>
        <w:tc>
          <w:tcPr>
            <w:tcW w:w="90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1-4.69</w:t>
            </w:r>
          </w:p>
        </w:tc>
        <w:tc>
          <w:tcPr>
            <w:tcW w:w="108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4.7-11.19</w:t>
            </w:r>
          </w:p>
        </w:tc>
        <w:tc>
          <w:tcPr>
            <w:tcW w:w="1260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11.2-12.99</w:t>
            </w:r>
          </w:p>
        </w:tc>
        <w:tc>
          <w:tcPr>
            <w:tcW w:w="828" w:type="dxa"/>
          </w:tcPr>
          <w:p w:rsidR="003346F6" w:rsidRPr="00F811B5" w:rsidRDefault="003346F6" w:rsidP="00A5673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B5">
              <w:rPr>
                <w:rFonts w:ascii="Times New Roman" w:hAnsi="Times New Roman"/>
                <w:sz w:val="22"/>
                <w:szCs w:val="22"/>
              </w:rPr>
              <w:t>≥ 13</w:t>
            </w:r>
          </w:p>
        </w:tc>
      </w:tr>
    </w:tbl>
    <w:p w:rsidR="00C83229" w:rsidRDefault="00C83229"/>
    <w:sectPr w:rsidR="00C83229" w:rsidSect="00F24D6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5D" w:rsidRDefault="00C42D5D" w:rsidP="00F24D6A">
      <w:r>
        <w:separator/>
      </w:r>
    </w:p>
  </w:endnote>
  <w:endnote w:type="continuationSeparator" w:id="0">
    <w:p w:rsidR="00C42D5D" w:rsidRDefault="00C42D5D" w:rsidP="00F2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5D" w:rsidRDefault="00C42D5D" w:rsidP="00F24D6A">
      <w:r>
        <w:separator/>
      </w:r>
    </w:p>
  </w:footnote>
  <w:footnote w:type="continuationSeparator" w:id="0">
    <w:p w:rsidR="00C42D5D" w:rsidRDefault="00C42D5D" w:rsidP="00F2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A0" w:rsidRDefault="00773AA0" w:rsidP="00773AA0">
    <w:pPr>
      <w:pStyle w:val="Header"/>
    </w:pPr>
    <w:r>
      <w:t xml:space="preserve">1274      either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Secondary prevention, prognosis, risk stratification, cardiac rehab</w:t>
    </w:r>
  </w:p>
  <w:p w:rsidR="00F24D6A" w:rsidRPr="00F24D6A" w:rsidRDefault="00F24D6A">
    <w:pPr>
      <w:pStyle w:val="Header"/>
      <w:rPr>
        <w:rFonts w:ascii="Arial" w:hAnsi="Arial" w:cs="Arial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F6"/>
    <w:rsid w:val="003346F6"/>
    <w:rsid w:val="005C48F6"/>
    <w:rsid w:val="00773AA0"/>
    <w:rsid w:val="00A202C8"/>
    <w:rsid w:val="00A229E7"/>
    <w:rsid w:val="00A5673A"/>
    <w:rsid w:val="00B944BF"/>
    <w:rsid w:val="00C42D5D"/>
    <w:rsid w:val="00C83229"/>
    <w:rsid w:val="00DC09B4"/>
    <w:rsid w:val="00F24D6A"/>
    <w:rsid w:val="00F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1E841-636F-45F7-BA9B-8B2472D9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F6"/>
    <w:rPr>
      <w:rFonts w:eastAsia="Malgun Gothic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6A"/>
    <w:rPr>
      <w:rFonts w:eastAsia="Malgun Gothic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6A"/>
    <w:rPr>
      <w:rFonts w:eastAsia="Malgun Gothic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Karyn-PC</cp:lastModifiedBy>
  <cp:revision>2</cp:revision>
  <cp:lastPrinted>2016-02-25T09:30:00Z</cp:lastPrinted>
  <dcterms:created xsi:type="dcterms:W3CDTF">2016-03-22T05:42:00Z</dcterms:created>
  <dcterms:modified xsi:type="dcterms:W3CDTF">2016-03-22T05:42:00Z</dcterms:modified>
</cp:coreProperties>
</file>